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00"/>
      </w:pPr>
    </w:p>
    <w:p>
      <w:pPr>
        <w:jc w:val="center"/>
      </w:pPr>
      <w:r>
        <w:drawing>
          <wp:inline distT="0" distB="0" distL="0" distR="0">
            <wp:extent cx="952500" cy="952500"/>
            <wp:effectExtent t="0" r="0" b="0" l="0"/>
            <wp:docPr id="1" name="Logo" descr="Geometric Gold Panda" title="JPand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00"/>
      </w:pPr>
    </w:p>
    <w:p>
      <w:pPr>
        <w:jc w:val="center"/>
      </w:pPr>
      <w:r>
        <w:rPr>
          <w:rFonts w:ascii="Georgia" w:cs="Georgia" w:eastAsia="Georgia" w:hAnsi="Georgia"/>
          <w:caps/>
          <w:color w:val="D4AF37"/>
          <w:sz w:val="44"/>
          <w:szCs w:val="44"/>
        </w:rPr>
        <w:t xml:space="preserve">THE ACCIDENTAL</w:t>
      </w:r>
    </w:p>
    <w:p>
      <w:pPr>
        <w:spacing w:before="50"/>
        <w:jc w:val="center"/>
      </w:pPr>
      <w:r>
        <w:rPr>
          <w:rFonts w:ascii="Georgia" w:cs="Georgia" w:eastAsia="Georgia" w:hAnsi="Georgia"/>
          <w:caps/>
          <w:color w:val="D4AF37"/>
          <w:sz w:val="60"/>
          <w:szCs w:val="60"/>
        </w:rPr>
        <w:t xml:space="preserve">GOLD HYDRIDE</w:t>
      </w:r>
    </w:p>
    <w:p>
      <w:pPr>
        <w:spacing w:before="50"/>
        <w:jc w:val="center"/>
      </w:pPr>
      <w:r>
        <w:rPr>
          <w:rFonts w:ascii="Georgia" w:cs="Georgia" w:eastAsia="Georgia" w:hAnsi="Georgia"/>
          <w:caps/>
          <w:color w:val="D4AF37"/>
          <w:sz w:val="44"/>
          <w:szCs w:val="44"/>
        </w:rPr>
        <w:t xml:space="preserve">DISCOVERY</w:t>
      </w:r>
    </w:p>
    <w:p>
      <w:pPr>
        <w:spacing w:before="150"/>
      </w:pPr>
    </w:p>
    <w:p>
      <w:pPr>
        <w:jc w:val="center"/>
      </w:pPr>
      <w:r>
        <w:rPr>
          <w:rFonts w:ascii="Georgia" w:cs="Georgia" w:eastAsia="Georgia" w:hAnsi="Georgia"/>
          <w:color w:val="D4AF37"/>
          <w:sz w:val="18"/>
          <w:szCs w:val="18"/>
        </w:rPr>
        <w:t xml:space="preserve">━━━━━━━━━━━━━━━━━━━━━━━━━━━━</w:t>
      </w:r>
    </w:p>
    <w:p>
      <w:pPr>
        <w:spacing w:before="150"/>
      </w:pPr>
    </w:p>
    <w:p>
      <w:pPr>
        <w:jc w:val="center"/>
      </w:pPr>
      <w:r>
        <w:rPr>
          <w:rFonts w:ascii="Georgia" w:cs="Georgia" w:eastAsia="Georgia" w:hAnsi="Georgia"/>
          <w:i/>
          <w:iCs/>
          <w:color w:val="1A1A1A"/>
          <w:sz w:val="22"/>
          <w:szCs w:val="22"/>
        </w:rPr>
        <w:t xml:space="preserve">Reshaping Extreme Physics at 400,000 Atmospheres</w:t>
      </w:r>
    </w:p>
    <w:p>
      <w:pPr>
        <w:spacing w:before="250"/>
      </w:pPr>
    </w:p>
    <w:p>
      <w:pPr>
        <w:jc w:val="center"/>
      </w:pPr>
      <w:r>
        <w:rPr>
          <w:rFonts w:ascii="Consolas" w:cs="Consolas" w:eastAsia="Consolas" w:hAnsi="Consolas"/>
          <w:color w:val="D4AF37"/>
          <w:sz w:val="24"/>
          <w:szCs w:val="24"/>
        </w:rPr>
        <w:t xml:space="preserve">40 GPa  •  3,500°F  •  Au₂Hₓ</w:t>
      </w:r>
    </w:p>
    <w:p>
      <w:pPr>
        <w:spacing w:before="400"/>
      </w:pPr>
    </w:p>
    <w:p>
      <w:pPr>
        <w:jc w:val="center"/>
      </w:pPr>
      <w:r>
        <w:rPr>
          <w:rFonts w:ascii="Consolas" w:cs="Consolas" w:eastAsia="Consolas" w:hAnsi="Consolas"/>
          <w:color w:val="888888"/>
          <w:sz w:val="20"/>
          <w:szCs w:val="20"/>
        </w:rPr>
        <w:t xml:space="preserve">「 Fusion • Planetary Science • Superconductivity 」</w:t>
      </w:r>
    </w:p>
    <w:p>
      <w:pPr>
        <w:spacing w:before="500"/>
      </w:pPr>
    </w:p>
    <w:p>
      <w:pPr>
        <w:jc w:val="center"/>
      </w:pPr>
      <w:r>
        <w:rPr>
          <w:rFonts w:ascii="Georgia" w:cs="Georgia" w:eastAsia="Georgia" w:hAnsi="Georgia"/>
          <w:caps/>
          <w:color w:val="1A1A1A"/>
          <w:sz w:val="18"/>
          <w:szCs w:val="18"/>
        </w:rPr>
        <w:t xml:space="preserve">JESSE JAMES IRELAND</w:t>
      </w:r>
    </w:p>
    <w:p>
      <w:pPr>
        <w:spacing w:before="50"/>
        <w:jc w:val="center"/>
      </w:pPr>
      <w:r>
        <w:rPr>
          <w:rFonts w:ascii="Georgia" w:cs="Georgia" w:eastAsia="Georgia" w:hAnsi="Georgia"/>
          <w:i/>
          <w:iCs/>
          <w:color w:val="888888"/>
          <w:sz w:val="14"/>
          <w:szCs w:val="14"/>
        </w:rPr>
        <w:t xml:space="preserve">writing as</w:t>
      </w:r>
    </w:p>
    <w:p>
      <w:pPr>
        <w:spacing w:before="50"/>
        <w:jc w:val="center"/>
      </w:pPr>
      <w:r>
        <w:rPr>
          <w:rFonts w:ascii="Georgia" w:cs="Georgia" w:eastAsia="Georgia" w:hAnsi="Georgia"/>
          <w:caps/>
          <w:color w:val="D4AF37"/>
          <w:sz w:val="26"/>
          <w:szCs w:val="26"/>
        </w:rPr>
        <w:t xml:space="preserve">JPANDA</w:t>
      </w:r>
    </w:p>
    <w:p>
      <w:pPr>
        <w:spacing w:before="250"/>
      </w:pPr>
    </w:p>
    <w:p>
      <w:pPr>
        <w:jc w:val="center"/>
      </w:pPr>
      <w:r>
        <w:drawing>
          <wp:inline distT="0" distB="0" distL="0" distR="0">
            <wp:extent cx="333375" cy="333375"/>
            <wp:effectExtent t="0" r="0" b="0" l="0"/>
            <wp:docPr id="1" name="Trefoil" descr="Gold Trefoil Symbol" title="Juche Trefo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20"/>
      </w:pPr>
    </w:p>
    <w:p>
      <w:pPr>
        <w:jc w:val="center"/>
      </w:pPr>
      <w:r>
        <w:rPr>
          <w:rFonts w:ascii="Consolas" w:cs="Consolas" w:eastAsia="Consolas" w:hAnsi="Consolas"/>
          <w:color w:val="888888"/>
          <w:sz w:val="13"/>
          <w:szCs w:val="13"/>
        </w:rPr>
        <w:t xml:space="preserve">juche.org  •  1929.world  •  juchegang.ca</w:t>
      </w:r>
    </w:p>
    <w:p>
      <w:r>
        <w:br w:type="page"/>
      </w:r>
    </w:p>
    <w:p>
      <w:pPr>
        <w:pStyle w:val="Heading1"/>
      </w:pPr>
      <w:r>
        <w:rPr>
          <w:rFonts w:ascii="Georgia" w:cs="Georgia" w:eastAsia="Georgia" w:hAnsi="Georgia"/>
          <w:caps/>
          <w:color w:val="D4AF37"/>
          <w:sz w:val="30"/>
          <w:szCs w:val="30"/>
        </w:rPr>
        <w:t xml:space="preserve">EXECUTIVE SUMMARY</w:t>
      </w:r>
    </w:p>
    <w:p>
      <w:pPr>
        <w:pStyle w:val="BodyText"/>
      </w:pPr>
      <w:r>
        <w:t xml:space="preserve">An unexpected chemical reaction at </w:t>
      </w:r>
      <w:r>
        <w:rPr>
          <w:b/>
          <w:bCs/>
          <w:color w:val="D4AF37"/>
        </w:rPr>
        <w:t xml:space="preserve">400,000 atmospheres</w:t>
      </w:r>
      <w:r>
        <w:t xml:space="preserve"> has challenged one of chemistry's oldest assumptions: gold's legendary inertness.</w:t>
      </w:r>
    </w:p>
    <w:p>
      <w:pPr>
        <w:pStyle w:val="BodyText"/>
      </w:pPr>
      <w:r>
        <w:t xml:space="preserve">In August 2025, a team led by SLAC staff scientist </w:t>
      </w:r>
      <w:r>
        <w:rPr>
          <w:b/>
          <w:bCs/>
        </w:rPr>
        <w:t xml:space="preserve">Mungo Frost</w:t>
      </w:r>
      <w:r>
        <w:t xml:space="preserve"> created the first solid gold hydride (</w:t>
      </w:r>
      <w:r>
        <w:rPr>
          <w:rFonts w:ascii="Consolas" w:cs="Consolas" w:eastAsia="Consolas" w:hAnsi="Consolas"/>
          <w:b/>
          <w:bCs/>
          <w:color w:val="D4AF37"/>
        </w:rPr>
        <w:t xml:space="preserve">Au₂Hₓ</w:t>
      </w:r>
      <w:r>
        <w:t xml:space="preserve">) while studying diamond formation at the European XFEL—accidentally proving that even the most "chemically boring" element can exhibit radically new properties under extreme conditions.</w:t>
      </w:r>
    </w:p>
    <w:p>
      <w:pPr>
        <w:pStyle w:val="Insight"/>
      </w:pPr>
      <w:r>
        <w:rPr>
          <w:color w:val="D4AF37"/>
        </w:rPr>
        <w:t xml:space="preserve">This serendipitous breakthrough provides the first experimental proxy for studying dense hydrogen under conditions matching Jupiter's core and fusion fuel implosions.</w:t>
      </w:r>
    </w:p>
    <w:p>
      <w:pPr>
        <w:pStyle w:val="BodyText"/>
      </w:pPr>
      <w:r>
        <w:rPr>
          <w:b/>
          <w:bCs/>
        </w:rPr>
        <w:t xml:space="preserve">The implications are far-reaching: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Validates simulation tools now applicable to fusion fuel modeling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Forces reconsideration of gold's use as an "inert" material in high-pressure experiments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Opens what Frost calls "potentially a lot of new chemistry to be discovered at extreme conditions"</w:t>
      </w:r>
    </w:p>
    <w:p>
      <w:r>
        <w:br w:type="page"/>
      </w:r>
    </w:p>
    <w:p>
      <w:pPr>
        <w:pStyle w:val="Heading1"/>
      </w:pPr>
      <w:r>
        <w:rPr>
          <w:rFonts w:ascii="Georgia" w:cs="Georgia" w:eastAsia="Georgia" w:hAnsi="Georgia"/>
          <w:caps/>
          <w:color w:val="D4AF37"/>
          <w:sz w:val="30"/>
          <w:szCs w:val="30"/>
        </w:rPr>
        <w:t xml:space="preserve">THE STUDY: WHAT HAPPENED AT 3,500°F</w:t>
      </w:r>
    </w:p>
    <w:p>
      <w:pPr>
        <w:pStyle w:val="BodyText"/>
      </w:pPr>
      <w:r>
        <w:t xml:space="preserve">The research, published in </w:t>
      </w:r>
      <w:r>
        <w:rPr>
          <w:i/>
          <w:iCs/>
        </w:rPr>
        <w:t xml:space="preserve">Angewandte Chemie International Edition</w:t>
      </w:r>
      <w:r>
        <w:t xml:space="preserve"> on August 4, 2025, involved </w:t>
      </w:r>
      <w:r>
        <w:rPr>
          <w:b/>
          <w:bCs/>
          <w:color w:val="D4AF37"/>
        </w:rPr>
        <w:t xml:space="preserve">29 co-authors</w:t>
      </w:r>
      <w:r>
        <w:t xml:space="preserve"> across </w:t>
      </w:r>
      <w:r>
        <w:rPr>
          <w:b/>
          <w:bCs/>
          <w:color w:val="D4AF37"/>
        </w:rPr>
        <w:t xml:space="preserve">10 institutions</w:t>
      </w:r>
      <w:r>
        <w:t xml:space="preserve"> spanning the US, Germany, UK, and beyond.</w:t>
      </w:r>
    </w:p>
    <w:p>
      <w:pPr>
        <w:pStyle w:val="BodyText"/>
      </w:pPr>
      <w:r>
        <w:t xml:space="preserve">The team used the High Energy Density (HED) instrument at European XFEL in Schenefeld, Germany, where ultrashort X-ray pulses heated hydrocarbon samples compressed in diamond anvil cells.</w:t>
      </w:r>
    </w:p>
    <w:p>
      <w:pPr>
        <w:pStyle w:val="Heading2"/>
      </w:pPr>
      <w:r>
        <w:rPr>
          <w:rFonts w:ascii="Georgia" w:cs="Georgia" w:eastAsia="Georgia" w:hAnsi="Georgia"/>
          <w:color w:val="D4AF37"/>
          <w:sz w:val="24"/>
          <w:szCs w:val="24"/>
        </w:rPr>
        <w:t xml:space="preserve">Experimental Conditions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00"/>
      </w:tblGrid>
      <w:tr>
        <w:tc>
          <w:tcPr>
            <w:tcBorders>
              <w:top w:val="single" w:color="D4AF37" w:sz="2"/>
              <w:left w:val="nil"/>
              <w:bottom w:val="single" w:color="CCCCCC" w:sz="1"/>
              <w:right w:val="nil"/>
            </w:tcBorders>
          </w:tcPr>
          <w:p>
            <w:r>
              <w:rPr>
                <w:rFonts w:ascii="Georgia" w:cs="Georgia" w:eastAsia="Georgia" w:hAnsi="Georgia"/>
                <w:b/>
                <w:bCs/>
                <w:color w:val="D4AF37"/>
                <w:sz w:val="18"/>
                <w:szCs w:val="18"/>
              </w:rPr>
              <w:t xml:space="preserve">PARAMETER</w:t>
            </w:r>
          </w:p>
        </w:tc>
        <w:tc>
          <w:tcPr>
            <w:tcBorders>
              <w:top w:val="single" w:color="D4AF37" w:sz="2"/>
              <w:left w:val="nil"/>
              <w:bottom w:val="single" w:color="CCCCCC" w:sz="1"/>
              <w:right w:val="nil"/>
            </w:tcBorders>
          </w:tcPr>
          <w:p>
            <w:r>
              <w:rPr>
                <w:rFonts w:ascii="Georgia" w:cs="Georgia" w:eastAsia="Georgia" w:hAnsi="Georgia"/>
                <w:b/>
                <w:bCs/>
                <w:color w:val="D4AF37"/>
                <w:sz w:val="18"/>
                <w:szCs w:val="18"/>
              </w:rPr>
              <w:t xml:space="preserve">VALUE</w:t>
            </w:r>
          </w:p>
        </w:tc>
      </w:tr>
      <w:tr>
        <w:tc>
          <w:tcPr>
            <w:tcBorders>
              <w:top w:val="nil"/>
              <w:left w:val="nil"/>
              <w:bottom w:val="single" w:color="CCCCCC" w:sz="1"/>
              <w:right w:val="nil"/>
            </w:tcBorders>
          </w:tcPr>
          <w:p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Pressure</w:t>
            </w:r>
          </w:p>
        </w:tc>
        <w:tc>
          <w:tcPr>
            <w:tcBorders>
              <w:top w:val="nil"/>
              <w:left w:val="nil"/>
              <w:bottom w:val="single" w:color="CCCCCC" w:sz="1"/>
              <w:right w:val="nil"/>
            </w:tcBorders>
          </w:tcPr>
          <w:p>
            <w:r>
              <w:rPr>
                <w:rFonts w:ascii="Consolas" w:cs="Consolas" w:eastAsia="Consolas" w:hAnsi="Consolas"/>
                <w:b/>
                <w:bCs/>
                <w:color w:val="D4AF37"/>
                <w:sz w:val="20"/>
                <w:szCs w:val="20"/>
              </w:rPr>
              <w:t xml:space="preserve">40–80 GPa</w:t>
            </w:r>
            <w:r>
              <w:rPr>
                <w:rFonts w:ascii="Calibri" w:cs="Calibri" w:eastAsia="Calibri" w:hAnsi="Calibri"/>
                <w:color w:val="888888"/>
                <w:sz w:val="18"/>
                <w:szCs w:val="18"/>
              </w:rPr>
              <w:t xml:space="preserve"> (400,000–800,000× atmospheric)</w:t>
            </w:r>
          </w:p>
        </w:tc>
      </w:tr>
      <w:tr>
        <w:tc>
          <w:tcPr>
            <w:tcBorders>
              <w:top w:val="nil"/>
              <w:left w:val="nil"/>
              <w:bottom w:val="single" w:color="CCCCCC" w:sz="1"/>
              <w:right w:val="nil"/>
            </w:tcBorders>
          </w:tcPr>
          <w:p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Temperature</w:t>
            </w:r>
          </w:p>
        </w:tc>
        <w:tc>
          <w:tcPr>
            <w:tcBorders>
              <w:top w:val="nil"/>
              <w:left w:val="nil"/>
              <w:bottom w:val="single" w:color="CCCCCC" w:sz="1"/>
              <w:right w:val="nil"/>
            </w:tcBorders>
          </w:tcPr>
          <w:p>
            <w:r>
              <w:rPr>
                <w:rFonts w:ascii="Consolas" w:cs="Consolas" w:eastAsia="Consolas" w:hAnsi="Consolas"/>
                <w:b/>
                <w:bCs/>
                <w:color w:val="D4AF37"/>
                <w:sz w:val="20"/>
                <w:szCs w:val="20"/>
              </w:rPr>
              <w:t xml:space="preserve">Above 2,200 K</w:t>
            </w:r>
            <w:r>
              <w:rPr>
                <w:rFonts w:ascii="Calibri" w:cs="Calibri" w:eastAsia="Calibri" w:hAnsi="Calibri"/>
                <w:color w:val="888888"/>
                <w:sz w:val="18"/>
                <w:szCs w:val="18"/>
              </w:rPr>
              <w:t xml:space="preserve"> (~3,500°F)</w:t>
            </w:r>
          </w:p>
        </w:tc>
      </w:tr>
      <w:tr>
        <w:tc>
          <w:tcPr>
            <w:tcBorders>
              <w:top w:val="nil"/>
              <w:left w:val="nil"/>
              <w:bottom w:val="single" w:color="D4AF37" w:sz="2"/>
              <w:right w:val="nil"/>
            </w:tcBorders>
          </w:tcPr>
          <w:p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Detection</w:t>
            </w:r>
          </w:p>
        </w:tc>
        <w:tc>
          <w:tcPr>
            <w:tcBorders>
              <w:top w:val="nil"/>
              <w:left w:val="nil"/>
              <w:bottom w:val="single" w:color="D4AF37" w:sz="2"/>
              <w:right w:val="nil"/>
            </w:tcBorders>
          </w:tcPr>
          <w:p>
            <w:r>
              <w:rPr>
                <w:rFonts w:ascii="Calibri" w:cs="Calibri" w:eastAsia="Calibri" w:hAnsi="Calibri"/>
                <w:b/>
                <w:bCs/>
                <w:color w:val="1A1A1A"/>
                <w:sz w:val="20"/>
                <w:szCs w:val="20"/>
              </w:rPr>
              <w:t xml:space="preserve">DESY AGIPD detectors</w:t>
            </w:r>
            <w:r>
              <w:rPr>
                <w:rFonts w:ascii="Calibri" w:cs="Calibri" w:eastAsia="Calibri" w:hAnsi="Calibri"/>
                <w:color w:val="888888"/>
                <w:sz w:val="18"/>
                <w:szCs w:val="18"/>
              </w:rPr>
              <w:t xml:space="preserve"> (millions of frames/sec)</w:t>
            </w:r>
          </w:p>
        </w:tc>
      </w:tr>
    </w:tbl>
    <w:p>
      <w:pPr>
        <w:spacing w:before="200"/>
      </w:pPr>
    </w:p>
    <w:p>
      <w:pPr>
        <w:pStyle w:val="BodyText"/>
      </w:pPr>
      <w:r>
        <w:t xml:space="preserve">The gold foil, intended merely as an X-ray absorber to heat hydrocarbons for diamond synthesis, instead absorbed hydrogen and transformed into a hexagonal close-packed lattice with hydrogen atoms freely diffusing through it—a </w:t>
      </w:r>
      <w:r>
        <w:rPr>
          <w:b/>
          <w:bCs/>
          <w:color w:val="D4AF37"/>
        </w:rPr>
        <w:t xml:space="preserve">"superionic" state</w:t>
      </w:r>
      <w:r>
        <w:t xml:space="preserve"> where hydrogen behaves like a liquid inside a crystalline solid.</w:t>
      </w:r>
    </w:p>
    <w:p>
      <w:pPr>
        <w:pStyle w:val="BodyText"/>
      </w:pPr>
      <w:r>
        <w:t xml:space="preserve">Upon cooling to room temperature, the compound decomposed back to normal gold and hydrogen gas—explaining why decades of previous experiments missed it entirely.</w:t>
      </w:r>
    </w:p>
    <w:p>
      <w:pPr>
        <w:pStyle w:val="Quote"/>
      </w:pPr>
      <w:r>
        <w:rPr>
          <w:i/>
          <w:iCs/>
        </w:rPr>
        <w:t xml:space="preserve">"It was unexpected because gold is typically chemically very boring and unreactive—that's why we use it as an X-ray absorber in these experiments. These results suggest there's potentially a lot of new chemistry to be discovered at extreme conditions where the effects of temperature and pressure start competing with conventional chemistry."</w:t>
      </w:r>
    </w:p>
    <w:p>
      <w:pPr>
        <w:spacing w:after="200"/>
        <w:jc w:val="right"/>
      </w:pPr>
      <w:r>
        <w:rPr>
          <w:rFonts w:ascii="Georgia" w:cs="Georgia" w:eastAsia="Georgia" w:hAnsi="Georgia"/>
          <w:color w:val="888888"/>
          <w:sz w:val="18"/>
          <w:szCs w:val="18"/>
        </w:rPr>
        <w:t xml:space="preserve">— Mungo Frost, SLAC</w:t>
      </w:r>
    </w:p>
    <w:p>
      <w:r>
        <w:br w:type="page"/>
      </w:r>
    </w:p>
    <w:p>
      <w:pPr>
        <w:pStyle w:val="Heading1"/>
      </w:pPr>
      <w:r>
        <w:rPr>
          <w:rFonts w:ascii="Georgia" w:cs="Georgia" w:eastAsia="Georgia" w:hAnsi="Georgia"/>
          <w:caps/>
          <w:color w:val="D4AF37"/>
          <w:sz w:val="30"/>
          <w:szCs w:val="30"/>
        </w:rPr>
        <w:t xml:space="preserve">FUSION ENERGY: THE $7 BILLION INDUSTRY</w:t>
      </w:r>
    </w:p>
    <w:p>
      <w:pPr>
        <w:pStyle w:val="BodyText"/>
      </w:pPr>
      <w:r>
        <w:t xml:space="preserve">The gold hydride discovery provides crucial benchmark data for modeling hydrogen at the </w:t>
      </w:r>
      <w:r>
        <w:rPr>
          <w:b/>
          <w:bCs/>
          <w:color w:val="D4AF37"/>
        </w:rPr>
        <w:t xml:space="preserve">extreme densities</w:t>
      </w:r>
      <w:r>
        <w:t xml:space="preserve"> traversed during fusion fuel implosions. In inertial confinement fusion, deuterium-tritium fuel must be compressed to </w:t>
      </w:r>
      <w:r>
        <w:rPr>
          <w:b/>
          <w:bCs/>
        </w:rPr>
        <w:t xml:space="preserve">1,000+ times solid density</w:t>
      </w:r>
      <w:r>
        <w:t xml:space="preserve"> at temperatures exceeding 100 million degrees—conditions where hydrogen's equation of state remains poorly understood.</w:t>
      </w:r>
    </w:p>
    <w:p>
      <w:pPr>
        <w:pStyle w:val="Heading2"/>
      </w:pPr>
      <w:r>
        <w:rPr>
          <w:rFonts w:ascii="Georgia" w:cs="Georgia" w:eastAsia="Georgia" w:hAnsi="Georgia"/>
          <w:color w:val="D4AF37"/>
          <w:sz w:val="24"/>
          <w:szCs w:val="24"/>
        </w:rPr>
        <w:t xml:space="preserve">National Ignition Facility Records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Calibri" w:cs="Calibri" w:eastAsia="Calibri" w:hAnsi="Calibri"/>
          <w:b/>
          <w:bCs/>
          <w:color w:val="D4AF37"/>
          <w:sz w:val="21"/>
          <w:szCs w:val="21"/>
        </w:rPr>
        <w:t xml:space="preserve">April 2025: </w:t>
      </w:r>
      <w:r>
        <w:rPr>
          <w:rFonts w:ascii="Calibri" w:cs="Calibri" w:eastAsia="Calibri" w:hAnsi="Calibri"/>
          <w:color w:val="1A1A1A"/>
          <w:sz w:val="21"/>
          <w:szCs w:val="21"/>
        </w:rPr>
        <w:t xml:space="preserve">Record 8.6 megajoules yield (gain of 4.13×)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Calibri" w:cs="Calibri" w:eastAsia="Calibri" w:hAnsi="Calibri"/>
          <w:b/>
          <w:bCs/>
          <w:color w:val="D4AF37"/>
          <w:sz w:val="21"/>
          <w:szCs w:val="21"/>
        </w:rPr>
        <w:t xml:space="preserve">February 2024: </w:t>
      </w:r>
      <w:r>
        <w:rPr>
          <w:rFonts w:ascii="Calibri" w:cs="Calibri" w:eastAsia="Calibri" w:hAnsi="Calibri"/>
          <w:color w:val="1A1A1A"/>
          <w:sz w:val="21"/>
          <w:szCs w:val="21"/>
        </w:rPr>
        <w:t xml:space="preserve">5.2 MJ yield from 2.2 MJ input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Calibri" w:cs="Calibri" w:eastAsia="Calibri" w:hAnsi="Calibri"/>
          <w:b/>
          <w:bCs/>
          <w:color w:val="D4AF37"/>
          <w:sz w:val="21"/>
          <w:szCs w:val="21"/>
        </w:rPr>
        <w:t xml:space="preserve">December 2022: </w:t>
      </w:r>
      <w:r>
        <w:rPr>
          <w:rFonts w:ascii="Calibri" w:cs="Calibri" w:eastAsia="Calibri" w:hAnsi="Calibri"/>
          <w:color w:val="1A1A1A"/>
          <w:sz w:val="21"/>
          <w:szCs w:val="21"/>
        </w:rPr>
        <w:t xml:space="preserve">First-ever fusion ignition</w:t>
      </w:r>
    </w:p>
    <w:p>
      <w:pPr>
        <w:pStyle w:val="Quote"/>
      </w:pPr>
      <w:r>
        <w:rPr>
          <w:i/>
          <w:iCs/>
        </w:rPr>
        <w:t xml:space="preserve">"It's important that we can experimentally produce and model these states under these extreme conditions. These simulation tools could be applied to model other exotic material properties in extreme conditions."</w:t>
      </w:r>
    </w:p>
    <w:p>
      <w:pPr>
        <w:spacing w:after="200"/>
        <w:jc w:val="right"/>
      </w:pPr>
      <w:r>
        <w:rPr>
          <w:rFonts w:ascii="Georgia" w:cs="Georgia" w:eastAsia="Georgia" w:hAnsi="Georgia"/>
          <w:color w:val="888888"/>
          <w:sz w:val="18"/>
          <w:szCs w:val="18"/>
        </w:rPr>
        <w:t xml:space="preserve">— Siegfried Glenzer, Edward Teller Medal Recipient 2025</w:t>
      </w:r>
    </w:p>
    <w:p>
      <w:pPr>
        <w:pStyle w:val="Heading2"/>
      </w:pPr>
      <w:r>
        <w:rPr>
          <w:rFonts w:ascii="Georgia" w:cs="Georgia" w:eastAsia="Georgia" w:hAnsi="Georgia"/>
          <w:color w:val="D4AF37"/>
          <w:sz w:val="24"/>
          <w:szCs w:val="24"/>
        </w:rPr>
        <w:t xml:space="preserve">Private Fusion Investment</w:t>
      </w:r>
    </w:p>
    <w:p>
      <w:pPr>
        <w:pStyle w:val="Stat"/>
      </w:pPr>
      <w:r>
        <w:rPr>
          <w:rFonts w:ascii="Consolas" w:cs="Consolas" w:eastAsia="Consolas" w:hAnsi="Consolas"/>
          <w:b/>
          <w:bCs/>
          <w:color w:val="D4AF37"/>
          <w:sz w:val="32"/>
          <w:szCs w:val="32"/>
        </w:rPr>
        <w:t xml:space="preserve">$7.1+ BILLION</w:t>
      </w:r>
    </w:p>
    <w:p>
      <w:pPr>
        <w:spacing w:after="150"/>
        <w:jc w:val="center"/>
      </w:pPr>
      <w:r>
        <w:rPr>
          <w:rFonts w:ascii="Georgia" w:cs="Georgia" w:eastAsia="Georgia" w:hAnsi="Georgia"/>
          <w:color w:val="888888"/>
          <w:sz w:val="18"/>
          <w:szCs w:val="18"/>
        </w:rPr>
        <w:t xml:space="preserve">Cumulative private investment • 53 companies competing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500"/>
        <w:gridCol w:w="3500"/>
      </w:tblGrid>
      <w:tr>
        <w:tc>
          <w:tcPr>
            <w:tcBorders>
              <w:top w:val="single" w:color="D4AF37" w:sz="2"/>
              <w:left w:val="nil"/>
              <w:bottom w:val="single" w:color="D4AF37" w:sz="2"/>
              <w:right w:val="nil"/>
            </w:tcBorders>
            <w:shd w:fill="F5F0E6" w:val="clea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D4AF37"/>
                <w:sz w:val="17"/>
                <w:szCs w:val="17"/>
              </w:rPr>
              <w:t xml:space="preserve">COMPANY</w:t>
            </w:r>
          </w:p>
        </w:tc>
        <w:tc>
          <w:tcPr>
            <w:tcBorders>
              <w:top w:val="single" w:color="D4AF37" w:sz="2"/>
              <w:left w:val="nil"/>
              <w:bottom w:val="single" w:color="D4AF37" w:sz="2"/>
              <w:right w:val="nil"/>
            </w:tcBorders>
            <w:shd w:fill="F5F0E6" w:val="clea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D4AF37"/>
                <w:sz w:val="17"/>
                <w:szCs w:val="17"/>
              </w:rPr>
              <w:t xml:space="preserve">FUNDING</w:t>
            </w:r>
          </w:p>
        </w:tc>
        <w:tc>
          <w:tcPr>
            <w:tcBorders>
              <w:top w:val="single" w:color="D4AF37" w:sz="2"/>
              <w:left w:val="nil"/>
              <w:bottom w:val="single" w:color="D4AF37" w:sz="2"/>
              <w:right w:val="nil"/>
            </w:tcBorders>
            <w:shd w:fill="F5F0E6" w:val="clea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D4AF37"/>
                <w:sz w:val="17"/>
                <w:szCs w:val="17"/>
              </w:rPr>
              <w:t xml:space="preserve">TARGET</w:t>
            </w:r>
          </w:p>
        </w:tc>
      </w:tr>
      <w:tr>
        <w:tc>
          <w:tcPr>
            <w:tcBorders>
              <w:top w:val="nil"/>
              <w:left w:val="nil"/>
              <w:bottom w:val="single" w:color="CCCCCC" w:sz="1"/>
              <w:right w:val="nil"/>
            </w:tcBorders>
          </w:tcPr>
          <w:p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Commonwealth Fusion</w:t>
            </w:r>
          </w:p>
        </w:tc>
        <w:tc>
          <w:tcPr>
            <w:tcBorders>
              <w:top w:val="nil"/>
              <w:left w:val="nil"/>
              <w:bottom w:val="single" w:color="CCCCCC" w:sz="1"/>
              <w:right w:val="nil"/>
            </w:tcBorders>
          </w:tcPr>
          <w:p>
            <w:pPr>
              <w:jc w:val="center"/>
            </w:pPr>
            <w:r>
              <w:rPr>
                <w:rFonts w:ascii="Consolas" w:cs="Consolas" w:eastAsia="Consolas" w:hAnsi="Consolas"/>
                <w:color w:val="D4AF37"/>
                <w:sz w:val="18"/>
                <w:szCs w:val="18"/>
              </w:rPr>
              <w:t xml:space="preserve">~$3 billion</w:t>
            </w:r>
          </w:p>
        </w:tc>
        <w:tc>
          <w:tcPr>
            <w:tcBorders>
              <w:top w:val="nil"/>
              <w:left w:val="nil"/>
              <w:bottom w:val="single" w:color="CCCCCC" w:sz="1"/>
              <w:right w:val="nil"/>
            </w:tcBorders>
          </w:tcPr>
          <w:p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SPARC 2026; ARC early 2030s</w:t>
            </w:r>
          </w:p>
        </w:tc>
      </w:tr>
      <w:tr>
        <w:tc>
          <w:tcPr>
            <w:tcBorders>
              <w:top w:val="nil"/>
              <w:left w:val="nil"/>
              <w:bottom w:val="single" w:color="CCCCCC" w:sz="1"/>
              <w:right w:val="nil"/>
            </w:tcBorders>
          </w:tcPr>
          <w:p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Helion Energy</w:t>
            </w:r>
          </w:p>
        </w:tc>
        <w:tc>
          <w:tcPr>
            <w:tcBorders>
              <w:top w:val="nil"/>
              <w:left w:val="nil"/>
              <w:bottom w:val="single" w:color="CCCCCC" w:sz="1"/>
              <w:right w:val="nil"/>
            </w:tcBorders>
          </w:tcPr>
          <w:p>
            <w:pPr>
              <w:jc w:val="center"/>
            </w:pPr>
            <w:r>
              <w:rPr>
                <w:rFonts w:ascii="Consolas" w:cs="Consolas" w:eastAsia="Consolas" w:hAnsi="Consolas"/>
                <w:color w:val="D4AF37"/>
                <w:sz w:val="18"/>
                <w:szCs w:val="18"/>
              </w:rPr>
              <w:t xml:space="preserve">$425M+</w:t>
            </w:r>
          </w:p>
        </w:tc>
        <w:tc>
          <w:tcPr>
            <w:tcBorders>
              <w:top w:val="nil"/>
              <w:left w:val="nil"/>
              <w:bottom w:val="single" w:color="CCCCCC" w:sz="1"/>
              <w:right w:val="nil"/>
            </w:tcBorders>
          </w:tcPr>
          <w:p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50 MW to Microsoft by 2028</w:t>
            </w:r>
          </w:p>
        </w:tc>
      </w:tr>
      <w:tr>
        <w:tc>
          <w:tcPr>
            <w:tcBorders>
              <w:top w:val="nil"/>
              <w:left w:val="nil"/>
              <w:bottom w:val="single" w:color="CCCCCC" w:sz="1"/>
              <w:right w:val="nil"/>
            </w:tcBorders>
          </w:tcPr>
          <w:p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TAE Technologies</w:t>
            </w:r>
          </w:p>
        </w:tc>
        <w:tc>
          <w:tcPr>
            <w:tcBorders>
              <w:top w:val="nil"/>
              <w:left w:val="nil"/>
              <w:bottom w:val="single" w:color="CCCCCC" w:sz="1"/>
              <w:right w:val="nil"/>
            </w:tcBorders>
          </w:tcPr>
          <w:p>
            <w:pPr>
              <w:jc w:val="center"/>
            </w:pPr>
            <w:r>
              <w:rPr>
                <w:rFonts w:ascii="Consolas" w:cs="Consolas" w:eastAsia="Consolas" w:hAnsi="Consolas"/>
                <w:color w:val="D4AF37"/>
                <w:sz w:val="18"/>
                <w:szCs w:val="18"/>
              </w:rPr>
              <w:t xml:space="preserve">$1.3+ billion</w:t>
            </w:r>
          </w:p>
        </w:tc>
        <w:tc>
          <w:tcPr>
            <w:tcBorders>
              <w:top w:val="nil"/>
              <w:left w:val="nil"/>
              <w:bottom w:val="single" w:color="CCCCCC" w:sz="1"/>
              <w:right w:val="nil"/>
            </w:tcBorders>
          </w:tcPr>
          <w:p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Net energy before decade's end</w:t>
            </w:r>
          </w:p>
        </w:tc>
      </w:tr>
      <w:tr>
        <w:tc>
          <w:tcPr>
            <w:tcBorders>
              <w:top w:val="nil"/>
              <w:left w:val="nil"/>
              <w:bottom w:val="single" w:color="D4AF37" w:sz="2"/>
              <w:right w:val="nil"/>
            </w:tcBorders>
          </w:tcPr>
          <w:p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Pacific Fusion</w:t>
            </w:r>
          </w:p>
        </w:tc>
        <w:tc>
          <w:tcPr>
            <w:tcBorders>
              <w:top w:val="nil"/>
              <w:left w:val="nil"/>
              <w:bottom w:val="single" w:color="D4AF37" w:sz="2"/>
              <w:right w:val="nil"/>
            </w:tcBorders>
          </w:tcPr>
          <w:p>
            <w:pPr>
              <w:jc w:val="center"/>
            </w:pPr>
            <w:r>
              <w:rPr>
                <w:rFonts w:ascii="Consolas" w:cs="Consolas" w:eastAsia="Consolas" w:hAnsi="Consolas"/>
                <w:color w:val="D4AF37"/>
                <w:sz w:val="18"/>
                <w:szCs w:val="18"/>
              </w:rPr>
              <w:t xml:space="preserve">$900M Series A</w:t>
            </w:r>
          </w:p>
        </w:tc>
        <w:tc>
          <w:tcPr>
            <w:tcBorders>
              <w:top w:val="nil"/>
              <w:left w:val="nil"/>
              <w:bottom w:val="single" w:color="D4AF37" w:sz="2"/>
              <w:right w:val="nil"/>
            </w:tcBorders>
          </w:tcPr>
          <w:p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Inertial confinement approach</w:t>
            </w:r>
          </w:p>
        </w:tc>
      </w:tr>
    </w:tbl>
    <w:p>
      <w:pPr>
        <w:spacing w:before="150"/>
      </w:pPr>
    </w:p>
    <w:p>
      <w:pPr>
        <w:pStyle w:val="BodyText"/>
      </w:pPr>
      <w:r>
        <w:t xml:space="preserve">Google signed a </w:t>
      </w:r>
      <w:r>
        <w:rPr>
          <w:b/>
          <w:bCs/>
          <w:color w:val="D4AF37"/>
        </w:rPr>
        <w:t xml:space="preserve">200 MW power purchase agreement</w:t>
      </w:r>
      <w:r>
        <w:t xml:space="preserve"> with Commonwealth Fusion in July 2025. The Fusion Industry Association reports </w:t>
      </w:r>
      <w:r>
        <w:rPr>
          <w:b/>
          <w:bCs/>
        </w:rPr>
        <w:t xml:space="preserve">4,607 direct employees</w:t>
      </w:r>
      <w:r>
        <w:t xml:space="preserve"> plus 9,300+ supply chain jobs—demand that far exceeds available trained researchers.</w:t>
      </w:r>
    </w:p>
    <w:p>
      <w:r>
        <w:br w:type="page"/>
      </w:r>
    </w:p>
    <w:p>
      <w:pPr>
        <w:pStyle w:val="Heading1"/>
      </w:pPr>
      <w:r>
        <w:rPr>
          <w:rFonts w:ascii="Georgia" w:cs="Georgia" w:eastAsia="Georgia" w:hAnsi="Georgia"/>
          <w:caps/>
          <w:color w:val="D4AF37"/>
          <w:sz w:val="30"/>
          <w:szCs w:val="30"/>
        </w:rPr>
        <w:t xml:space="preserve">PLANETARY SCIENCE: JUPITER'S HIDDEN INTERIOR</w:t>
      </w:r>
    </w:p>
    <w:p>
      <w:pPr>
        <w:pStyle w:val="BodyText"/>
      </w:pPr>
      <w:r>
        <w:t xml:space="preserve">Jupiter's magnetic field—</w:t>
      </w:r>
      <w:r>
        <w:rPr>
          <w:b/>
          <w:bCs/>
          <w:color w:val="D4AF37"/>
        </w:rPr>
        <w:t xml:space="preserve">20 times stronger than Earth's</w:t>
      </w:r>
      <w:r>
        <w:t xml:space="preserve">—originates in a vast ocean of </w:t>
      </w:r>
      <w:r>
        <w:rPr>
          <w:b/>
          <w:bCs/>
        </w:rPr>
        <w:t xml:space="preserve">metallic hydrogen</w:t>
      </w:r>
      <w:r>
        <w:t xml:space="preserve"> extending from 20,000 to 60,000 kilometers below its cloud tops, at temperatures around 18,000 K and pressures exceeding 40 million atmospheres.</w:t>
      </w:r>
    </w:p>
    <w:p>
      <w:pPr>
        <w:pStyle w:val="BodyText"/>
      </w:pPr>
      <w:r>
        <w:t xml:space="preserve">Gold hydride's superionic hydrogen behavior parallels these conditions, offering ground-truth data for planetary models.</w:t>
      </w:r>
    </w:p>
    <w:p>
      <w:pPr>
        <w:pStyle w:val="BodyText"/>
      </w:pPr>
      <w:r>
        <w:t xml:space="preserve">NASA's </w:t>
      </w:r>
      <w:r>
        <w:rPr>
          <w:b/>
          <w:bCs/>
        </w:rPr>
        <w:t xml:space="preserve">Juno mission</w:t>
      </w:r>
      <w:r>
        <w:t xml:space="preserve"> (orbiting Jupiter since 2016) discovered that Jupiter's core is "fuzzy"—not solid rock but mixed rock and metallic hydrogen extending outward. ESA's </w:t>
      </w:r>
      <w:r>
        <w:rPr>
          <w:b/>
          <w:bCs/>
          <w:color w:val="D4AF37"/>
        </w:rPr>
        <w:t xml:space="preserve">JUICE mission</w:t>
      </w:r>
      <w:r>
        <w:t xml:space="preserve">, arriving at Jupiter in </w:t>
      </w:r>
      <w:r>
        <w:rPr>
          <w:b/>
          <w:bCs/>
        </w:rPr>
        <w:t xml:space="preserve">July 2031</w:t>
      </w:r>
      <w:r>
        <w:t xml:space="preserve">, will study how this liquid metallic hydrogen generates the planet's magnetic environment.</w:t>
      </w:r>
    </w:p>
    <w:p>
      <w:pPr>
        <w:pStyle w:val="Quote"/>
      </w:pPr>
      <w:r>
        <w:rPr>
          <w:i/>
          <w:iCs/>
        </w:rPr>
        <w:t xml:space="preserve">"Metallic hydrogen is the most abundant form of matter in our planetary system. On Jupiter, there are oceans of metallic hydrogen."</w:t>
      </w:r>
    </w:p>
    <w:p>
      <w:pPr>
        <w:spacing w:after="200"/>
        <w:jc w:val="right"/>
      </w:pPr>
      <w:r>
        <w:rPr>
          <w:rFonts w:ascii="Georgia" w:cs="Georgia" w:eastAsia="Georgia" w:hAnsi="Georgia"/>
          <w:color w:val="888888"/>
          <w:sz w:val="18"/>
          <w:szCs w:val="18"/>
        </w:rPr>
        <w:t xml:space="preserve">— Mohamed Zaghoo, Rochester physicist</w:t>
      </w:r>
    </w:p>
    <w:p>
      <w:pPr>
        <w:pStyle w:val="Heading1"/>
      </w:pPr>
      <w:r>
        <w:rPr>
          <w:rFonts w:ascii="Georgia" w:cs="Georgia" w:eastAsia="Georgia" w:hAnsi="Georgia"/>
          <w:caps/>
          <w:color w:val="D4AF37"/>
          <w:sz w:val="30"/>
          <w:szCs w:val="30"/>
        </w:rPr>
        <w:t xml:space="preserve">THE SUPERCONDUCTIVITY CONNECTION</w:t>
      </w:r>
    </w:p>
    <w:p>
      <w:pPr>
        <w:pStyle w:val="BodyText"/>
      </w:pPr>
      <w:r>
        <w:t xml:space="preserve">Since Neil Ashcroft's 1968 prediction that metallic hydrogen would be a room-temperature superconductor, researchers have sought hydrogen-rich compounds as proxies. The results have been remarkable:</w:t>
      </w:r>
    </w:p>
    <w:p>
      <w:pPr>
        <w:spacing w:before="15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00"/>
        <w:gridCol w:w="3000"/>
      </w:tblGrid>
      <w:tr>
        <w:tc>
          <w:tcPr>
            <w:tcBorders>
              <w:top w:val="single" w:color="D4AF37" w:sz="2"/>
              <w:left w:val="nil"/>
              <w:bottom w:val="single" w:color="D4AF37" w:sz="2"/>
              <w:right w:val="nil"/>
            </w:tcBorders>
            <w:shd w:fill="F5F0E6" w:val="clea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D4AF37"/>
                <w:sz w:val="17"/>
                <w:szCs w:val="17"/>
              </w:rPr>
              <w:t xml:space="preserve">MATERIAL</w:t>
            </w:r>
          </w:p>
        </w:tc>
        <w:tc>
          <w:tcPr>
            <w:tcBorders>
              <w:top w:val="single" w:color="D4AF37" w:sz="2"/>
              <w:left w:val="nil"/>
              <w:bottom w:val="single" w:color="D4AF37" w:sz="2"/>
              <w:right w:val="nil"/>
            </w:tcBorders>
            <w:shd w:fill="F5F0E6" w:val="clea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D4AF37"/>
                <w:sz w:val="17"/>
                <w:szCs w:val="17"/>
              </w:rPr>
              <w:t xml:space="preserve">CRITICAL TEMP</w:t>
            </w:r>
          </w:p>
        </w:tc>
        <w:tc>
          <w:tcPr>
            <w:tcBorders>
              <w:top w:val="single" w:color="D4AF37" w:sz="2"/>
              <w:left w:val="nil"/>
              <w:bottom w:val="single" w:color="D4AF37" w:sz="2"/>
              <w:right w:val="nil"/>
            </w:tcBorders>
            <w:shd w:fill="F5F0E6" w:val="clea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D4AF37"/>
                <w:sz w:val="17"/>
                <w:szCs w:val="17"/>
              </w:rPr>
              <w:t xml:space="preserve">PRESSURE</w:t>
            </w:r>
          </w:p>
        </w:tc>
      </w:tr>
      <w:tr>
        <w:tc>
          <w:tcPr>
            <w:tcBorders>
              <w:top w:val="nil"/>
              <w:left w:val="nil"/>
              <w:bottom w:val="single" w:color="CCCCCC" w:sz="1"/>
              <w:right w:val="nil"/>
            </w:tcBorders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H₃S (sulfur hydride)</w:t>
            </w:r>
          </w:p>
        </w:tc>
        <w:tc>
          <w:tcPr>
            <w:tcBorders>
              <w:top w:val="nil"/>
              <w:left w:val="nil"/>
              <w:bottom w:val="single" w:color="CCCCCC" w:sz="1"/>
              <w:right w:val="nil"/>
            </w:tcBorders>
          </w:tcPr>
          <w:p>
            <w:pPr>
              <w:jc w:val="center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203 K (−70°C)</w:t>
            </w:r>
          </w:p>
        </w:tc>
        <w:tc>
          <w:tcPr>
            <w:tcBorders>
              <w:top w:val="nil"/>
              <w:left w:val="nil"/>
              <w:bottom w:val="single" w:color="CCCCCC" w:sz="1"/>
              <w:right w:val="nil"/>
            </w:tcBorders>
          </w:tcPr>
          <w:p>
            <w:pPr>
              <w:jc w:val="center"/>
            </w:pPr>
            <w:r>
              <w:rPr>
                <w:rFonts w:ascii="Consolas" w:cs="Consolas" w:eastAsia="Consolas" w:hAnsi="Consolas"/>
                <w:color w:val="D4AF37"/>
                <w:sz w:val="18"/>
                <w:szCs w:val="18"/>
              </w:rPr>
              <w:t xml:space="preserve">155 GPa</w:t>
            </w:r>
          </w:p>
        </w:tc>
      </w:tr>
      <w:tr>
        <w:tc>
          <w:tcPr>
            <w:tcBorders>
              <w:top w:val="nil"/>
              <w:left w:val="nil"/>
              <w:bottom w:val="single" w:color="CCCCCC" w:sz="1"/>
              <w:right w:val="nil"/>
            </w:tcBorders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LaH₁₀ (lanthanum decahydride)</w:t>
            </w:r>
          </w:p>
        </w:tc>
        <w:tc>
          <w:tcPr>
            <w:tcBorders>
              <w:top w:val="nil"/>
              <w:left w:val="nil"/>
              <w:bottom w:val="single" w:color="CCCCCC" w:sz="1"/>
              <w:right w:val="nil"/>
            </w:tcBorders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D4AF37"/>
                <w:sz w:val="18"/>
                <w:szCs w:val="18"/>
              </w:rPr>
              <w:t xml:space="preserve">250–260 K</w:t>
            </w:r>
          </w:p>
        </w:tc>
        <w:tc>
          <w:tcPr>
            <w:tcBorders>
              <w:top w:val="nil"/>
              <w:left w:val="nil"/>
              <w:bottom w:val="single" w:color="CCCCCC" w:sz="1"/>
              <w:right w:val="nil"/>
            </w:tcBorders>
          </w:tcPr>
          <w:p>
            <w:pPr>
              <w:jc w:val="center"/>
            </w:pPr>
            <w:r>
              <w:rPr>
                <w:rFonts w:ascii="Consolas" w:cs="Consolas" w:eastAsia="Consolas" w:hAnsi="Consolas"/>
                <w:color w:val="D4AF37"/>
                <w:sz w:val="18"/>
                <w:szCs w:val="18"/>
              </w:rPr>
              <w:t xml:space="preserve">150–190 GPa</w:t>
            </w:r>
          </w:p>
        </w:tc>
      </w:tr>
      <w:tr>
        <w:tc>
          <w:tcPr>
            <w:tcBorders>
              <w:top w:val="nil"/>
              <w:left w:val="nil"/>
              <w:bottom w:val="single" w:color="D4AF37" w:sz="2"/>
              <w:right w:val="nil"/>
            </w:tcBorders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YH₉ (yttrium hydride)</w:t>
            </w:r>
          </w:p>
        </w:tc>
        <w:tc>
          <w:tcPr>
            <w:tcBorders>
              <w:top w:val="nil"/>
              <w:left w:val="nil"/>
              <w:bottom w:val="single" w:color="D4AF37" w:sz="2"/>
              <w:right w:val="nil"/>
            </w:tcBorders>
          </w:tcPr>
          <w:p>
            <w:pPr>
              <w:jc w:val="center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243 K</w:t>
            </w:r>
          </w:p>
        </w:tc>
        <w:tc>
          <w:tcPr>
            <w:tcBorders>
              <w:top w:val="nil"/>
              <w:left w:val="nil"/>
              <w:bottom w:val="single" w:color="D4AF37" w:sz="2"/>
              <w:right w:val="nil"/>
            </w:tcBorders>
          </w:tcPr>
          <w:p>
            <w:pPr>
              <w:jc w:val="center"/>
            </w:pPr>
            <w:r>
              <w:rPr>
                <w:rFonts w:ascii="Consolas" w:cs="Consolas" w:eastAsia="Consolas" w:hAnsi="Consolas"/>
                <w:color w:val="D4AF37"/>
                <w:sz w:val="18"/>
                <w:szCs w:val="18"/>
              </w:rPr>
              <w:t xml:space="preserve">201 GPa</w:t>
            </w:r>
          </w:p>
        </w:tc>
      </w:tr>
    </w:tbl>
    <w:p>
      <w:pPr>
        <w:spacing w:before="200"/>
      </w:pPr>
    </w:p>
    <w:p>
      <w:pPr>
        <w:pStyle w:val="BodyText"/>
      </w:pPr>
      <w:r>
        <w:rPr>
          <w:b/>
          <w:bCs/>
        </w:rPr>
        <w:t xml:space="preserve">The LK-99 saga ended definitively:</w:t>
      </w:r>
      <w:r>
        <w:t xml:space="preserve"> In December 2023, the Korean Society of Superconductivity Verification Committee concluded LK-99 is an insulator, not a superconductor. The "levitation" effect came from copper sulfide impurities.</w:t>
      </w:r>
    </w:p>
    <w:p>
      <w:pPr>
        <w:pStyle w:val="Insight"/>
      </w:pPr>
      <w:r>
        <w:rPr>
          <w:color w:val="D4AF37"/>
        </w:rPr>
        <w:t xml:space="preserve">Crucially, the discovery forces researchers to reconsider every past high-pressure experiment that assumed gold was inert. Some previous hydride measurements may need reexamination.</w:t>
      </w:r>
    </w:p>
    <w:p>
      <w:r>
        <w:br w:type="page"/>
      </w:r>
    </w:p>
    <w:p>
      <w:pPr>
        <w:pStyle w:val="Heading1"/>
      </w:pPr>
      <w:r>
        <w:rPr>
          <w:rFonts w:ascii="Georgia" w:cs="Georgia" w:eastAsia="Georgia" w:hAnsi="Georgia"/>
          <w:caps/>
          <w:color w:val="D4AF37"/>
          <w:sz w:val="30"/>
          <w:szCs w:val="30"/>
        </w:rPr>
        <w:t xml:space="preserve">THE SERENDIPITY NARRATIVE</w:t>
      </w:r>
    </w:p>
    <w:p>
      <w:pPr>
        <w:spacing w:before="50" w:after="200"/>
        <w:jc w:val="center"/>
      </w:pPr>
      <w:r>
        <w:rPr>
          <w:rFonts w:ascii="Georgia" w:cs="Georgia" w:eastAsia="Georgia" w:hAnsi="Georgia"/>
          <w:i/>
          <w:iCs/>
          <w:color w:val="888888"/>
          <w:sz w:val="22"/>
          <w:szCs w:val="22"/>
        </w:rPr>
        <w:t xml:space="preserve">Chance Favoring Prepared Minds</w:t>
      </w:r>
    </w:p>
    <w:p>
      <w:pPr>
        <w:pStyle w:val="BodyText"/>
      </w:pPr>
      <w:r>
        <w:t xml:space="preserve">Gold hydride joins an illustrious lineage of accidental discoveries:</w:t>
      </w:r>
    </w:p>
    <w:p>
      <w:pPr>
        <w:pStyle w:val="BodyText"/>
      </w:pPr>
      <w:r>
        <w:rPr>
          <w:b/>
          <w:bCs/>
          <w:color w:val="D4AF37"/>
        </w:rPr>
        <w:t xml:space="preserve">Penicillin (1928):</w:t>
      </w:r>
      <w:r>
        <w:t xml:space="preserve"> Alexander Fleming left petri dishes uncleaned during vacation. A mold spore contaminated a Staphylococcus culture. Estimated </w:t>
      </w:r>
      <w:r>
        <w:rPr>
          <w:b/>
          <w:bCs/>
        </w:rPr>
        <w:t xml:space="preserve">200+ million lives saved</w:t>
      </w:r>
      <w:r>
        <w:t xml:space="preserve"> since 1942.</w:t>
      </w:r>
    </w:p>
    <w:p>
      <w:pPr>
        <w:pStyle w:val="BodyText"/>
      </w:pPr>
      <w:r>
        <w:rPr>
          <w:b/>
          <w:bCs/>
          <w:color w:val="D4AF37"/>
        </w:rPr>
        <w:t xml:space="preserve">Cosmic Microwave Background (1964):</w:t>
      </w:r>
      <w:r>
        <w:t xml:space="preserve"> Arno Penzias and Robert Wilson spent hours removing pigeon droppings from a Bell Labs antenna, trying to eliminate a mysterious "hiss." They'd found the </w:t>
      </w:r>
      <w:r>
        <w:rPr>
          <w:b/>
          <w:bCs/>
        </w:rPr>
        <w:t xml:space="preserve">echo of the Big Bang itself</w:t>
      </w:r>
      <w:r>
        <w:t xml:space="preserve">—Nobel Prize 1978.</w:t>
      </w:r>
    </w:p>
    <w:p>
      <w:pPr>
        <w:pStyle w:val="BodyText"/>
      </w:pPr>
      <w:r>
        <w:rPr>
          <w:b/>
          <w:bCs/>
          <w:color w:val="D4AF37"/>
        </w:rPr>
        <w:t xml:space="preserve">Teflon (1938):</w:t>
      </w:r>
      <w:r>
        <w:t xml:space="preserve"> 27-year-old Roy Plunkett sawed open a gas canister that wouldn't dispense, expecting to find nothing. Inside: a waxy white substance that became critical to the Manhattan Project and modern cookware.</w:t>
      </w:r>
    </w:p>
    <w:p>
      <w:pPr>
        <w:pStyle w:val="BodyText"/>
      </w:pPr>
      <w:r>
        <w:rPr>
          <w:b/>
          <w:bCs/>
          <w:color w:val="D4AF37"/>
        </w:rPr>
        <w:t xml:space="preserve">Viagra (1990s):</w:t>
      </w:r>
      <w:r>
        <w:t xml:space="preserve"> Pfizer scientists testing a heart medication noticed male patients "lying on their stomachs." The pivot generated </w:t>
      </w:r>
      <w:r>
        <w:rPr>
          <w:b/>
          <w:bCs/>
        </w:rPr>
        <w:t xml:space="preserve">$1 billion in year-two sales</w:t>
      </w:r>
      <w:r>
        <w:t xml:space="preserve">.</w:t>
      </w:r>
    </w:p>
    <w:p>
      <w:pPr>
        <w:spacing w:before="200"/>
      </w:pPr>
    </w:p>
    <w:p>
      <w:pPr>
        <w:pStyle w:val="Insight"/>
      </w:pPr>
      <w:r>
        <w:rPr>
          <w:i/>
          <w:iCs/>
          <w:color w:val="D4AF37"/>
        </w:rPr>
        <w:t xml:space="preserve">"In the fields of observation, chance favors only the prepared mind."</w:t>
      </w:r>
    </w:p>
    <w:p>
      <w:pPr>
        <w:spacing w:after="200"/>
        <w:jc w:val="center"/>
      </w:pPr>
      <w:r>
        <w:rPr>
          <w:rFonts w:ascii="Georgia" w:cs="Georgia" w:eastAsia="Georgia" w:hAnsi="Georgia"/>
          <w:color w:val="888888"/>
          <w:sz w:val="18"/>
          <w:szCs w:val="18"/>
        </w:rPr>
        <w:t xml:space="preserve">— Louis Pasteur</w:t>
      </w:r>
    </w:p>
    <w:p>
      <w:pPr>
        <w:pStyle w:val="Heading1"/>
      </w:pPr>
      <w:r>
        <w:rPr>
          <w:rFonts w:ascii="Georgia" w:cs="Georgia" w:eastAsia="Georgia" w:hAnsi="Georgia"/>
          <w:caps/>
          <w:color w:val="D4AF37"/>
          <w:sz w:val="30"/>
          <w:szCs w:val="30"/>
        </w:rPr>
        <w:t xml:space="preserve">KEY STATISTICS</w:t>
      </w:r>
    </w:p>
    <w:p>
      <w:pPr>
        <w:spacing w:before="15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00"/>
      </w:tblGrid>
      <w:tr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D4AF37"/>
                <w:sz w:val="32"/>
                <w:szCs w:val="32"/>
              </w:rPr>
              <w:t xml:space="preserve">40 GPa</w:t>
            </w:r>
          </w:p>
          <w:p>
            <w:pPr>
              <w:jc w:val="center"/>
            </w:pPr>
            <w:r>
              <w:rPr>
                <w:rFonts w:ascii="Georgia" w:cs="Georgia" w:eastAsia="Georgia" w:hAnsi="Georgia"/>
                <w:color w:val="888888"/>
                <w:sz w:val="16"/>
                <w:szCs w:val="16"/>
              </w:rPr>
              <w:t xml:space="preserve">400,000× atmospheric pressure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D4AF37"/>
                <w:sz w:val="32"/>
                <w:szCs w:val="32"/>
              </w:rPr>
              <w:t xml:space="preserve">8.6 MJ</w:t>
            </w:r>
          </w:p>
          <w:p>
            <w:pPr>
              <w:jc w:val="center"/>
            </w:pPr>
            <w:r>
              <w:rPr>
                <w:rFonts w:ascii="Georgia" w:cs="Georgia" w:eastAsia="Georgia" w:hAnsi="Georgia"/>
                <w:color w:val="888888"/>
                <w:sz w:val="16"/>
                <w:szCs w:val="16"/>
              </w:rPr>
              <w:t xml:space="preserve">NIF fusion record (April 2025)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20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D4AF37"/>
                <w:sz w:val="32"/>
                <w:szCs w:val="32"/>
              </w:rPr>
              <w:t xml:space="preserve">$7.1B+</w:t>
            </w:r>
          </w:p>
          <w:p>
            <w:pPr>
              <w:jc w:val="center"/>
            </w:pPr>
            <w:r>
              <w:rPr>
                <w:rFonts w:ascii="Georgia" w:cs="Georgia" w:eastAsia="Georgia" w:hAnsi="Georgia"/>
                <w:color w:val="888888"/>
                <w:sz w:val="16"/>
                <w:szCs w:val="16"/>
              </w:rPr>
              <w:t xml:space="preserve">Private fusion investment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20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D4AF37"/>
                <w:sz w:val="32"/>
                <w:szCs w:val="32"/>
              </w:rPr>
              <w:t xml:space="preserve">27,000/sec</w:t>
            </w:r>
          </w:p>
          <w:p>
            <w:pPr>
              <w:jc w:val="center"/>
            </w:pPr>
            <w:r>
              <w:rPr>
                <w:rFonts w:ascii="Georgia" w:cs="Georgia" w:eastAsia="Georgia" w:hAnsi="Georgia"/>
                <w:color w:val="888888"/>
                <w:sz w:val="16"/>
                <w:szCs w:val="16"/>
              </w:rPr>
              <w:t xml:space="preserve">European XFEL X-ray flashes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20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D4AF37"/>
                <w:sz w:val="32"/>
                <w:szCs w:val="32"/>
              </w:rPr>
              <w:t xml:space="preserve">200M+</w:t>
            </w:r>
          </w:p>
          <w:p>
            <w:pPr>
              <w:jc w:val="center"/>
            </w:pPr>
            <w:r>
              <w:rPr>
                <w:rFonts w:ascii="Georgia" w:cs="Georgia" w:eastAsia="Georgia" w:hAnsi="Georgia"/>
                <w:color w:val="888888"/>
                <w:sz w:val="16"/>
                <w:szCs w:val="16"/>
              </w:rPr>
              <w:t xml:space="preserve">Lives saved by penicillin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20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D4AF37"/>
                <w:sz w:val="32"/>
                <w:szCs w:val="32"/>
              </w:rPr>
              <w:t xml:space="preserve">1 TPa</w:t>
            </w:r>
          </w:p>
          <w:p>
            <w:pPr>
              <w:jc w:val="center"/>
            </w:pPr>
            <w:r>
              <w:rPr>
                <w:rFonts w:ascii="Georgia" w:cs="Georgia" w:eastAsia="Georgia" w:hAnsi="Georgia"/>
                <w:color w:val="888888"/>
                <w:sz w:val="16"/>
                <w:szCs w:val="16"/>
              </w:rPr>
              <w:t xml:space="preserve">Current pressure record (10M atm)</w:t>
            </w:r>
          </w:p>
        </w:tc>
      </w:tr>
    </w:tbl>
    <w:p>
      <w:r>
        <w:br w:type="page"/>
      </w:r>
    </w:p>
    <w:p>
      <w:pPr>
        <w:pStyle w:val="Heading1"/>
      </w:pPr>
      <w:r>
        <w:rPr>
          <w:rFonts w:ascii="Georgia" w:cs="Georgia" w:eastAsia="Georgia" w:hAnsi="Georgia"/>
          <w:caps/>
          <w:color w:val="D4AF37"/>
          <w:sz w:val="30"/>
          <w:szCs w:val="30"/>
        </w:rPr>
        <w:t xml:space="preserve">CONCLUSION</w:t>
      </w:r>
    </w:p>
    <w:p>
      <w:pPr>
        <w:pStyle w:val="BodyText"/>
      </w:pPr>
      <w:r>
        <w:t xml:space="preserve">The gold hydride discovery represents more than a chemistry curiosity—it's a </w:t>
      </w:r>
      <w:r>
        <w:rPr>
          <w:b/>
          <w:bCs/>
          <w:color w:val="D4AF37"/>
        </w:rPr>
        <w:t xml:space="preserve">methodological breakthrough</w:t>
      </w:r>
      <w:r>
        <w:t xml:space="preserve"> that bridges fundamental science with fusion energy development, planetary modeling, and the global race for superconducting materials.</w:t>
      </w:r>
    </w:p>
    <w:p>
      <w:pPr>
        <w:pStyle w:val="BodyText"/>
      </w:pPr>
      <w:r>
        <w:t xml:space="preserve">For professionals across physics, energy, policy, and deep tech investment, this is exactly the kind of "prepared mind meets unexpected result" story that reshapes fields.</w:t>
      </w:r>
    </w:p>
    <w:p>
      <w:pPr>
        <w:spacing w:before="200"/>
      </w:pPr>
    </w:p>
    <w:p>
      <w:pPr>
        <w:pStyle w:val="Quote"/>
      </w:pPr>
      <w:r>
        <w:rPr>
          <w:i/>
          <w:iCs/>
        </w:rPr>
        <w:t xml:space="preserve">"We chose gold specifically because it was 'chemically boring.' Nature disagreed at 400,000 atmospheres."</w:t>
      </w:r>
    </w:p>
    <w:p>
      <w:pPr>
        <w:spacing w:before="300"/>
      </w:pPr>
    </w:p>
    <w:p>
      <w:pPr>
        <w:jc w:val="center"/>
      </w:pPr>
      <w:r>
        <w:rPr>
          <w:rFonts w:ascii="Georgia" w:cs="Georgia" w:eastAsia="Georgia" w:hAnsi="Georgia"/>
          <w:color w:val="D4AF37"/>
          <w:sz w:val="18"/>
          <w:szCs w:val="18"/>
        </w:rPr>
        <w:t xml:space="preserve">━━━━━━━━━━━━━━━━━━━━━━━━━━━━</w:t>
      </w:r>
    </w:p>
    <w:p>
      <w:pPr>
        <w:spacing w:before="250"/>
      </w:pPr>
    </w:p>
    <w:p>
      <w:pPr>
        <w:jc w:val="center"/>
      </w:pPr>
      <w:r>
        <w:drawing>
          <wp:inline distT="0" distB="0" distL="0" distR="0">
            <wp:extent cx="428625" cy="428625"/>
            <wp:effectExtent t="0" r="0" b="0" l="0"/>
            <wp:docPr id="1" name="Trefoil" descr="Gold Trefoil Symbol" title="Juche Trefo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80"/>
      </w:pPr>
    </w:p>
    <w:p>
      <w:pPr>
        <w:jc w:val="center"/>
      </w:pPr>
      <w:r>
        <w:rPr>
          <w:rFonts w:ascii="Consolas" w:cs="Consolas" w:eastAsia="Consolas" w:hAnsi="Consolas"/>
          <w:color w:val="D4AF37"/>
          <w:sz w:val="22"/>
          <w:szCs w:val="22"/>
        </w:rPr>
        <w:t xml:space="preserve">「 40 GPa • Au₂Hₓ • Serendipity 」</w:t>
      </w:r>
    </w:p>
    <w:p>
      <w:pPr>
        <w:spacing w:before="250"/>
      </w:pPr>
    </w:p>
    <w:p>
      <w:pPr>
        <w:jc w:val="center"/>
      </w:pPr>
      <w:r>
        <w:rPr>
          <w:rFonts w:ascii="Georgia" w:cs="Georgia" w:eastAsia="Georgia" w:hAnsi="Georgia"/>
          <w:caps/>
          <w:color w:val="D4AF37"/>
          <w:sz w:val="24"/>
          <w:szCs w:val="24"/>
        </w:rPr>
        <w:t xml:space="preserve">JPANDA</w:t>
      </w:r>
    </w:p>
    <w:p>
      <w:pPr>
        <w:spacing w:before="50"/>
        <w:jc w:val="center"/>
      </w:pPr>
      <w:r>
        <w:rPr>
          <w:rFonts w:ascii="Georgia" w:cs="Georgia" w:eastAsia="Georgia" w:hAnsi="Georgia"/>
          <w:color w:val="1A1A1A"/>
          <w:sz w:val="18"/>
          <w:szCs w:val="18"/>
        </w:rPr>
        <w:t xml:space="preserve">Jesse James Ireland</w:t>
      </w:r>
    </w:p>
    <w:p>
      <w:pPr>
        <w:spacing w:before="80"/>
        <w:jc w:val="center"/>
      </w:pPr>
      <w:r>
        <w:rPr>
          <w:rFonts w:ascii="Consolas" w:cs="Consolas" w:eastAsia="Consolas" w:hAnsi="Consolas"/>
          <w:color w:val="888888"/>
          <w:sz w:val="16"/>
          <w:szCs w:val="16"/>
        </w:rPr>
        <w:t xml:space="preserve">panda@juche.org</w:t>
      </w:r>
    </w:p>
    <w:p>
      <w:pPr>
        <w:spacing w:before="120"/>
      </w:pPr>
    </w:p>
    <w:p>
      <w:pPr>
        <w:jc w:val="center"/>
      </w:pPr>
      <w:r>
        <w:rPr>
          <w:rFonts w:ascii="Consolas" w:cs="Consolas" w:eastAsia="Consolas" w:hAnsi="Consolas"/>
          <w:color w:val="888888"/>
          <w:sz w:val="13"/>
          <w:szCs w:val="13"/>
        </w:rPr>
        <w:t xml:space="preserve">juche.org  •  1929.world  •  juchegang.ca  •  tiger.juche.org</w:t>
      </w:r>
    </w:p>
    <w:p>
      <w:pPr>
        <w:spacing w:before="200"/>
      </w:pPr>
    </w:p>
    <w:p>
      <w:pPr>
        <w:jc w:val="center"/>
      </w:pPr>
      <w:r>
        <w:rPr>
          <w:rFonts w:ascii="Georgia" w:cs="Georgia" w:eastAsia="Georgia" w:hAnsi="Georgia"/>
          <w:color w:val="D4AF37"/>
          <w:sz w:val="18"/>
          <w:szCs w:val="18"/>
        </w:rPr>
        <w:t xml:space="preserve">— END —</w:t>
      </w:r>
    </w:p>
    <w:sectPr>
      <w:headerReference w:type="default" r:id="rId6"/>
      <w:footerReference w:type="default" r:id="rId7"/>
      <w:pgSz w:w="11906" w:h="16838" w:orient="portrait"/>
      <w:pgMar w:top="1260" w:right="1260" w:bottom="126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onsolas" w:cs="Consolas" w:eastAsia="Consolas" w:hAnsi="Consolas"/>
        <w:color w:val="888888"/>
        <w:sz w:val="14"/>
        <w:szCs w:val="14"/>
      </w:rPr>
      <w:t xml:space="preserve">panda@juche.org</w:t>
    </w:r>
    <w:r>
      <w:rPr>
        <w:rFonts w:ascii="Georgia" w:cs="Georgia" w:eastAsia="Georgia" w:hAnsi="Georgia"/>
        <w:color w:val="D4AF37"/>
        <w:sz w:val="14"/>
        <w:szCs w:val="14"/>
      </w:rPr>
      <w:t xml:space="preserve">  •  </w:t>
    </w:r>
    <w:r>
      <w:rPr>
        <w:rFonts w:ascii="Calibri" w:cs="Calibri" w:eastAsia="Calibri" w:hAnsi="Calibri"/>
        <w:color w:val="888888"/>
        <w:sz w:val="14"/>
        <w:szCs w:val="14"/>
      </w:rPr>
      <w:t xml:space="preserve">Page </w:t>
    </w:r>
    <w:r>
      <w:rPr>
        <w:rFonts w:ascii="Georgia" w:cs="Georgia" w:eastAsia="Georgia" w:hAnsi="Georgia"/>
        <w:color w:val="D4AF37"/>
        <w:sz w:val="14"/>
        <w:szCs w:val="14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888888"/>
        <w:sz w:val="14"/>
        <w:szCs w:val="14"/>
      </w:rPr>
      <w:t xml:space="preserve"> of </w:t>
    </w:r>
    <w:r>
      <w:rPr>
        <w:rFonts w:ascii="Georgia" w:cs="Georgia" w:eastAsia="Georgia" w:hAnsi="Georgia"/>
        <w:color w:val="D4AF37"/>
        <w:sz w:val="14"/>
        <w:szCs w:val="14"/>
      </w:rPr>
      <w:fldChar w:fldCharType="begin"/>
      <w:instrText xml:space="preserve">NUMPAGES</w:instrText>
      <w:fldChar w:fldCharType="separate"/>
      <w:fldChar w:fldCharType="end"/>
    </w:r>
    <w:r>
      <w:rPr>
        <w:rFonts w:ascii="Georgia" w:cs="Georgia" w:eastAsia="Georgia" w:hAnsi="Georgia"/>
        <w:color w:val="D4AF37"/>
        <w:sz w:val="14"/>
        <w:szCs w:val="14"/>
      </w:rPr>
      <w:t xml:space="preserve">  •  </w:t>
    </w:r>
    <w:r>
      <w:rPr>
        <w:rFonts w:ascii="Consolas" w:cs="Consolas" w:eastAsia="Consolas" w:hAnsi="Consolas"/>
        <w:color w:val="888888"/>
        <w:sz w:val="14"/>
        <w:szCs w:val="14"/>
      </w:rPr>
      <w:t xml:space="preserve">1929.world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left" w:pos="0"/>
        <w:tab w:val="right" w:pos="9026"/>
      </w:tabs>
      <w:jc w:val="center"/>
    </w:pPr>
    <w:r>
      <w:rPr>
        <w:rFonts w:ascii="Georgia" w:cs="Georgia" w:eastAsia="Georgia" w:hAnsi="Georgia"/>
        <w:caps/>
        <w:color w:val="D4AF37"/>
        <w:sz w:val="16"/>
        <w:szCs w:val="16"/>
      </w:rPr>
      <w:t xml:space="preserve">JPANDA</w:t>
    </w:r>
    <w:r>
      <w:rPr>
        <w:rFonts w:ascii="Georgia" w:cs="Georgia" w:eastAsia="Georgia" w:hAnsi="Georgia"/>
        <w:sz w:val="16"/>
        <w:szCs w:val="16"/>
      </w:rPr>
      <w:t xml:space="preserve">		</w:t>
    </w:r>
    <w:r>
      <w:rPr>
        <w:rFonts w:ascii="Georgia" w:cs="Georgia" w:eastAsia="Georgia" w:hAnsi="Georgia"/>
        <w:i/>
        <w:iCs/>
        <w:color w:val="888888"/>
        <w:sz w:val="16"/>
        <w:szCs w:val="16"/>
      </w:rPr>
      <w:t xml:space="preserve">Gold Hydride Discovery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1A"/>
        <w:sz w:val="23"/>
        <w:szCs w:val="23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before="400" w:after="200"/>
      <w:jc w:val="center"/>
    </w:pPr>
    <w:rPr>
      <w:rFonts w:ascii="Georgia" w:cs="Georgia" w:eastAsia="Georgia" w:hAnsi="Georgia"/>
      <w:b w:val="false"/>
      <w:bCs w:val="false"/>
      <w:caps/>
      <w:color w:val="D4AF37"/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Georgia" w:cs="Georgia" w:eastAsia="Georgia" w:hAnsi="Georgia"/>
      <w:b w:val="false"/>
      <w:bCs w:val="false"/>
      <w:caps/>
      <w:color w:val="D4AF37"/>
      <w:sz w:val="30"/>
      <w:szCs w:val="30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Georgia" w:cs="Georgia" w:eastAsia="Georgia" w:hAnsi="Georgia"/>
      <w:b w:val="false"/>
      <w:bCs w:val="false"/>
      <w:color w:val="D4AF37"/>
      <w:sz w:val="24"/>
      <w:szCs w:val="24"/>
    </w:rPr>
  </w:style>
  <w:style w:type="paragraph" w:styleId="BodyText">
    <w:name w:val="Body Text"/>
    <w:basedOn w:val="Normal"/>
    <w:pPr>
      <w:spacing w:before="80" w:after="80" w:line="320"/>
    </w:pPr>
    <w:rPr>
      <w:rFonts w:ascii="Calibri" w:cs="Calibri" w:eastAsia="Calibri" w:hAnsi="Calibri"/>
      <w:color w:val="1A1A1A"/>
      <w:sz w:val="22"/>
      <w:szCs w:val="22"/>
    </w:rPr>
  </w:style>
  <w:style w:type="paragraph" w:styleId="Insight">
    <w:name w:val="Insight"/>
    <w:basedOn w:val="Normal"/>
    <w:pPr>
      <w:spacing w:before="180" w:after="180"/>
      <w:ind w:left="720" w:right="720"/>
      <w:jc w:val="center"/>
    </w:pPr>
    <w:rPr>
      <w:rFonts w:ascii="Georgia" w:cs="Georgia" w:eastAsia="Georgia" w:hAnsi="Georgia"/>
      <w:i/>
      <w:iCs/>
      <w:color w:val="D4AF37"/>
      <w:sz w:val="22"/>
      <w:szCs w:val="22"/>
    </w:rPr>
  </w:style>
  <w:style w:type="paragraph" w:styleId="Quote">
    <w:name w:val="Quote"/>
    <w:basedOn w:val="Normal"/>
    <w:pPr>
      <w:spacing w:before="120" w:after="120"/>
      <w:ind w:left="720" w:right="720"/>
    </w:pPr>
    <w:rPr>
      <w:rFonts w:ascii="Georgia" w:cs="Georgia" w:eastAsia="Georgia" w:hAnsi="Georgia"/>
      <w:i/>
      <w:iCs/>
      <w:color w:val="888888"/>
      <w:sz w:val="21"/>
      <w:szCs w:val="21"/>
    </w:rPr>
  </w:style>
  <w:style w:type="paragraph" w:styleId="Stat">
    <w:name w:val="Stat"/>
    <w:basedOn w:val="Normal"/>
    <w:pPr>
      <w:spacing w:before="150" w:after="150"/>
      <w:jc w:val="center"/>
    </w:pPr>
    <w:rPr>
      <w:rFonts w:ascii="Consolas" w:cs="Consolas" w:eastAsia="Consolas" w:hAnsi="Consolas"/>
      <w:b/>
      <w:bCs/>
      <w:color w:val="D4AF37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image" Target="media/b8963c41454c34526aa40ea21b2dd275bb11e719.png"/><Relationship Id="rId9" Type="http://schemas.openxmlformats.org/officeDocument/2006/relationships/image" Target="media/332b012e9359d85b11b114a2aa5ccf8a064058fb.png"/><Relationship Id="rId10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2025-12-26T09:18:51.994Z</dcterms:created>
  <dcterms:modified xsi:type="dcterms:W3CDTF">2025-12-26T09:18:51.995Z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